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一、服务内容：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1、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  <w:lang w:eastAsia="zh-CN"/>
        </w:rPr>
        <w:t>按照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国家行业保养规范进行全面维修保养，确保电梯正常运行。按照政府法规对电梯进行常规检查和例行保养：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（1）电梯：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安全部件：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制动器各销轴部位、制动器间隙、限速器各销轴部位、轿顶检修和急停开关、轿厢检修和急停开关、轿门安全装置（安全触板，光幕、光电等）、轿门门锁电气触点、</w:t>
      </w:r>
      <w:r>
        <w:rPr>
          <w:rFonts w:hint="eastAsia" w:ascii="微软雅黑" w:hAnsi="微软雅黑" w:eastAsia="微软雅黑" w:cs="微软雅黑"/>
          <w:color w:val="0000FF"/>
          <w:kern w:val="200"/>
          <w:sz w:val="32"/>
          <w:szCs w:val="32"/>
        </w:rPr>
        <w:t>层门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门锁电气触点、底坑急停开关、制动衬、验证轿门关闭的电气安全装置、限速器轮槽、限速器涨紧轮装置和电气安全装置、制动器</w:t>
      </w:r>
      <w:r>
        <w:rPr>
          <w:rFonts w:hint="eastAsia" w:ascii="微软雅黑" w:hAnsi="微软雅黑" w:eastAsia="微软雅黑" w:cs="微软雅黑"/>
          <w:color w:val="0000FF"/>
          <w:kern w:val="200"/>
          <w:sz w:val="32"/>
          <w:szCs w:val="32"/>
        </w:rPr>
        <w:t>上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检测开关、上下极限开关、制动器铁芯（柱塞）、制动器制动弹簧压缩量、限速器安全钳联动、上行超速保护装置、轿厢称重装置、安全钳钳座等安全部件的检查、调整、清洁、润滑。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机房：机房滑轮间环境、手动紧急操作装置、编码器、曳引轮槽、电动机与减速机联轴器螺栓、曳引轮和导向轮轴承部、控制柜内各接线端子、控制柜各仪表、减速机内齿轮油、控制柜接触器和继电器触点、导电回路绝缘性等机房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轿厢：轿顶环境、导靴上油杯、轿厢风扇、灯箱片、应急照明、轿内报警装置、对讲系统、轿内显示、指令按钮、轿门在开启和关闭时的状况、轿厢平层精度、位置脉冲发生器、导靴靴衬或滚轮、各反绳轮轴承部、轿顶和轿厢架和轿门及其附件安装螺栓、轿底各安装螺栓等轿厢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井道：对重块及压板、井道照明、层站召唤、层楼显示、层门地坎、层门自动关门装置、层门门锁自动复位、层门锁紧元件啮合长度、层门和轿门系统中传动钢丝绳或链条或胶带、层门门导靴、消防开关、补偿链（绳）与轿厢和对重的连接处、轿厢和对重的导轨支架、轿厢和对重的导轨、随行电缆、层门装置等井道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底坑：底坑环境、缓冲器、对重缓冲距等底坑部件的检查、调整、清洁、润滑。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曳引钢丝绳或曳引钢带、补偿钢丝绳、补偿链、限速器钢丝绳、曳引绳头组合的检查、调整、清洁、润滑。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轿厢围壁、包括固定或可移动的面板、门面板、轿门扇、吊顶、轿厢照明、厅门扇、门框及地坎的检查。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机房温度、齿轮箱、齿轮箱轴承、油封、查看故障记录、限速器护罩和楔块、轿门、开门机、厅门导轨、隔光板或磁条、E&amp;I操纵盘、地坎护板、控制柜内保险、电子板和风扇、变频器、交/直流转换驱动器、可控硅、曳引轮防护、井道开关和换速开关、钢带PPT、补偿绳绳轮、补偿链防晃器、轿顶接线盒、安全钳开关及轴销、控制柜防尘网、电刷和换向器、曳引机固定螺栓和减震胶垫等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（2）扶梯：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安全部件：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扶梯的制动器机械装置、制动检测开关、制动触点、梳齿板开关、梯级或踏板下陷开关、梯级链涨紧开关、扶手带入口处保护开关、出入口安全警示标志、防灌水保护装置、附加制动器、扶手带断带保护开关、围裙板安全开关、主机过热保护装置、电源相序监控装置、主机盖保护装置等安全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扶梯的电器部件、电子板、主驱动链、减速机润滑油、电机通风口、检修控制装置、自动润滑油罐油位、梳齿板照明、梳齿板梳齿与踏板面齿槽、导向胶带、梯身上部三角档板、梯级滚轮和梯级导轨、扶手护壁板、急停开关、梯级链涨紧装置、梯级轴衬、主驱动链链条滑块、主接触器、电缆、扶手带托轮、滑轮群、防静电轮、扶手带内侧凸缘处、扶手带导向块和导向轮、在进入梳齿板处的梯级、内外盖板连接处、围裙板对接处等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自动扶梯照明、楔块护板、桁架包层、桁架内照明的检查和调整。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梯级、扶手带照明、梯级下照明、润滑装置、上下平台、控制柜、曳引机、主驱动轮、曳引机固定螺栓和减震胶垫、扶手带驱动装置、年度清洁检查、主驱动链、防反向装置等部件的检查、调整、清洁、润滑。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2、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根据电梯检验规则要求，积极配合医院完成电梯检验、检测工作，提供限速器动作速度校验报告，并保证所维保的电梯在规定期限内通过检验、检测，负责完成检验、检测过程中发生的属本合同范围内的整改工作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3、供应商负责投保商业综合责任险及其工作人员的人身意外保险。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4、供应商自行配备工作所需的工具及设备，保养时设置现场安全警示标志。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5、备件和零件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供应商为医院储存合理数量的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  <w:lang w:val="en-US" w:eastAsia="zh-CN"/>
        </w:rPr>
        <w:t>医院电梯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专用备件和更换零件，所有配件必须由电梯生产厂家统一供货，均为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  <w:lang w:val="en-US" w:eastAsia="zh-CN"/>
        </w:rPr>
        <w:t>电梯厂家</w:t>
      </w: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认证认可的配件，当发现电梯部件依靠日常维护保养不能安全运行时，及时对相应部件进行修理或更换。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免费提供例行保养所需之棉纱、润滑油和润滑脂（曳引机油除外）。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200"/>
          <w:sz w:val="32"/>
          <w:szCs w:val="32"/>
        </w:rPr>
        <w:t>对于本合同内包含的配件实行免费送货上门。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6、本合同为POG半包方案合同，合同包括</w:t>
      </w:r>
      <w:r>
        <w:rPr>
          <w:rFonts w:hint="eastAsia" w:ascii="微软雅黑" w:hAnsi="微软雅黑" w:eastAsia="微软雅黑" w:cs="微软雅黑"/>
          <w:color w:val="auto"/>
          <w:spacing w:val="-3"/>
          <w:sz w:val="32"/>
          <w:szCs w:val="32"/>
          <w:highlight w:val="none"/>
          <w:shd w:val="clear" w:color="auto" w:fill="auto"/>
        </w:rPr>
        <w:t>单个价值不超过500元的零配件及损耗件应免费维</w:t>
      </w:r>
      <w:r>
        <w:rPr>
          <w:rFonts w:hint="eastAsia" w:ascii="微软雅黑" w:hAnsi="微软雅黑" w:eastAsia="微软雅黑" w:cs="微软雅黑"/>
          <w:color w:val="auto"/>
          <w:spacing w:val="-4"/>
          <w:sz w:val="32"/>
          <w:szCs w:val="32"/>
          <w:highlight w:val="none"/>
          <w:shd w:val="clear" w:color="auto" w:fill="auto"/>
        </w:rPr>
        <w:t>修及调换，限速器校验，125超</w:t>
      </w:r>
      <w:r>
        <w:rPr>
          <w:rFonts w:hint="eastAsia" w:ascii="微软雅黑" w:hAnsi="微软雅黑" w:eastAsia="微软雅黑" w:cs="微软雅黑"/>
          <w:color w:val="auto"/>
          <w:spacing w:val="-7"/>
          <w:sz w:val="32"/>
          <w:szCs w:val="32"/>
          <w:highlight w:val="none"/>
          <w:shd w:val="clear" w:color="auto" w:fill="auto"/>
        </w:rPr>
        <w:t>载实验，IOT物联网，电梯保险，软件版本升级，技术支持，易损配件储备，</w:t>
      </w:r>
      <w:r>
        <w:rPr>
          <w:rFonts w:hint="eastAsia" w:ascii="微软雅黑" w:hAnsi="微软雅黑" w:eastAsia="微软雅黑" w:cs="微软雅黑"/>
          <w:color w:val="auto"/>
          <w:spacing w:val="-1"/>
          <w:sz w:val="32"/>
          <w:szCs w:val="32"/>
          <w:highlight w:val="none"/>
          <w:shd w:val="clear" w:color="auto" w:fill="auto"/>
        </w:rPr>
        <w:t>调换的新</w:t>
      </w:r>
      <w:r>
        <w:rPr>
          <w:rFonts w:hint="eastAsia" w:ascii="微软雅黑" w:hAnsi="微软雅黑" w:eastAsia="微软雅黑" w:cs="微软雅黑"/>
          <w:color w:val="auto"/>
          <w:spacing w:val="-2"/>
          <w:sz w:val="32"/>
          <w:szCs w:val="32"/>
          <w:highlight w:val="none"/>
          <w:shd w:val="clear" w:color="auto" w:fill="auto"/>
        </w:rPr>
        <w:t>零配件均为原厂品牌。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二、服务人员配置及数量</w:t>
      </w:r>
    </w:p>
    <w:p>
      <w:pPr>
        <w:spacing w:before="38" w:line="219" w:lineRule="auto"/>
        <w:ind w:firstLine="640" w:firstLineChars="200"/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供应商安排两名持有有效电梯维修作业人员证书的维保人员一年24小时常驻设立在医院</w:t>
      </w: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  <w:lang w:val="en-US" w:eastAsia="zh-CN"/>
        </w:rPr>
        <w:t>附近</w:t>
      </w: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的维修点提供维保服务，</w:t>
      </w:r>
      <w:r>
        <w:rPr>
          <w:rFonts w:hint="eastAsia" w:ascii="微软雅黑" w:hAnsi="微软雅黑" w:eastAsia="微软雅黑" w:cs="微软雅黑"/>
          <w:color w:val="auto"/>
          <w:spacing w:val="-1"/>
          <w:sz w:val="32"/>
          <w:szCs w:val="32"/>
          <w:highlight w:val="none"/>
          <w:shd w:val="clear" w:color="auto" w:fill="auto"/>
        </w:rPr>
        <w:t>并在接到甲方报修通知后15分钟内</w:t>
      </w:r>
      <w:r>
        <w:rPr>
          <w:rFonts w:hint="eastAsia" w:ascii="微软雅黑" w:hAnsi="微软雅黑" w:eastAsia="微软雅黑" w:cs="微软雅黑"/>
          <w:color w:val="auto"/>
          <w:spacing w:val="-2"/>
          <w:sz w:val="32"/>
          <w:szCs w:val="32"/>
          <w:highlight w:val="none"/>
          <w:shd w:val="clear" w:color="auto" w:fill="auto"/>
        </w:rPr>
        <w:t>必须赶到现场，</w:t>
      </w: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维保人员专业技术熟练，能够保证维修及时、彻底。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三、服务要求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（1）供应商应按时完成医院要求填写的相关工作表格。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（2）针对医院下发的通知或沟通函，供应商应在要求日期内予以回复。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（3）供应商对驻医院项目点进行每年不少于两次的工地质量安全稽查，检查时应告知医院并书面反馈检查情况。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（4）供应商应严格按照国家及行业规定完成15天、月度、季度、半年以及年度保养内容，保养记录由双方签字认可。合同中提供的所有常规保养工作，均在不影响医院电梯日常运行时间内进行。</w:t>
      </w:r>
    </w:p>
    <w:p>
      <w:pPr>
        <w:spacing w:line="440" w:lineRule="exact"/>
        <w:ind w:firstLine="640" w:firstLineChars="200"/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</w:pPr>
      <w:r>
        <w:rPr>
          <w:rFonts w:hint="eastAsia" w:ascii="微软雅黑" w:hAnsi="微软雅黑" w:eastAsia="微软雅黑" w:cs="微软雅黑"/>
          <w:color w:val="auto"/>
          <w:kern w:val="200"/>
          <w:sz w:val="32"/>
          <w:szCs w:val="32"/>
          <w:highlight w:val="none"/>
          <w:shd w:val="clear" w:color="auto" w:fill="auto"/>
        </w:rPr>
        <w:t>（5）供应商应对医院的电梯操作人员每半年进行一次电梯安全操作培训。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2240" w:h="15840"/>
      <w:pgMar w:top="1701" w:right="1587" w:bottom="1417" w:left="158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5MjdkZDkxNGYzYzg2MmIyYzhlYWNhYmYzMjNiMTMifQ=="/>
    <w:docVar w:name="KSO_WPS_MARK_KEY" w:val="dc97833d-547f-41b4-9077-a8c4fac22d66"/>
  </w:docVars>
  <w:rsids>
    <w:rsidRoot w:val="00DE6019"/>
    <w:rsid w:val="001F101C"/>
    <w:rsid w:val="00280439"/>
    <w:rsid w:val="0036390F"/>
    <w:rsid w:val="0039577A"/>
    <w:rsid w:val="004749D0"/>
    <w:rsid w:val="00693478"/>
    <w:rsid w:val="008F4D8C"/>
    <w:rsid w:val="009B48AF"/>
    <w:rsid w:val="00A3125B"/>
    <w:rsid w:val="00AC5998"/>
    <w:rsid w:val="00B31785"/>
    <w:rsid w:val="00B575AC"/>
    <w:rsid w:val="00B66C9F"/>
    <w:rsid w:val="00BD3DD7"/>
    <w:rsid w:val="00DE6019"/>
    <w:rsid w:val="11A976A8"/>
    <w:rsid w:val="126B2BAF"/>
    <w:rsid w:val="13347445"/>
    <w:rsid w:val="14922675"/>
    <w:rsid w:val="15A85596"/>
    <w:rsid w:val="17A10E21"/>
    <w:rsid w:val="1D266050"/>
    <w:rsid w:val="1E012619"/>
    <w:rsid w:val="25951FC5"/>
    <w:rsid w:val="285E4368"/>
    <w:rsid w:val="2C107A99"/>
    <w:rsid w:val="2F3A598B"/>
    <w:rsid w:val="3D3659E4"/>
    <w:rsid w:val="474C3E84"/>
    <w:rsid w:val="480A1F47"/>
    <w:rsid w:val="4FF9121F"/>
    <w:rsid w:val="52B26894"/>
    <w:rsid w:val="60DA29A7"/>
    <w:rsid w:val="662D3845"/>
    <w:rsid w:val="6E183DFA"/>
    <w:rsid w:val="72227D09"/>
    <w:rsid w:val="759C7DD3"/>
    <w:rsid w:val="7ED24865"/>
    <w:rsid w:val="7F85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spacing w:after="0" w:line="240" w:lineRule="auto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widowControl/>
      <w:spacing w:before="360" w:after="80" w:line="278" w:lineRule="auto"/>
      <w:jc w:val="left"/>
      <w:outlineLvl w:val="0"/>
    </w:pPr>
    <w:rPr>
      <w:rFonts w:hint="default"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1"/>
    </w:pPr>
    <w:rPr>
      <w:rFonts w:hint="default"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 w:line="278" w:lineRule="auto"/>
      <w:jc w:val="left"/>
      <w:outlineLvl w:val="2"/>
    </w:pPr>
    <w:rPr>
      <w:rFonts w:hint="default" w:asciiTheme="minorHAnsi" w:hAnsiTheme="minorHAnsi" w:eastAsiaTheme="maj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2">
    <w:name w:val="heading 4"/>
    <w:basedOn w:val="1"/>
    <w:next w:val="1"/>
    <w:link w:val="20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3"/>
    </w:pPr>
    <w:rPr>
      <w:rFonts w:hint="default" w:asciiTheme="minorHAnsi" w:hAnsiTheme="minorHAnsi" w:eastAsiaTheme="majorEastAsia" w:cstheme="majorBidi"/>
      <w:i/>
      <w:iCs/>
      <w:color w:val="104862" w:themeColor="accent1" w:themeShade="BF"/>
      <w:sz w:val="24"/>
      <w:szCs w:val="24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 w:line="278" w:lineRule="auto"/>
      <w:jc w:val="left"/>
      <w:outlineLvl w:val="4"/>
    </w:pPr>
    <w:rPr>
      <w:rFonts w:hint="default" w:asciiTheme="minorHAnsi" w:hAnsiTheme="minorHAnsi" w:eastAsiaTheme="maj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5"/>
    </w:pPr>
    <w:rPr>
      <w:rFonts w:hint="default" w:asciiTheme="minorHAnsi" w:hAnsiTheme="minorHAnsi" w:eastAsiaTheme="majorEastAsia" w:cstheme="majorBidi"/>
      <w:i/>
      <w:i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line="278" w:lineRule="auto"/>
      <w:jc w:val="left"/>
      <w:outlineLvl w:val="6"/>
    </w:pPr>
    <w:rPr>
      <w:rFonts w:hint="default" w:asciiTheme="minorHAnsi" w:hAnsiTheme="minorHAnsi"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widowControl/>
      <w:spacing w:line="278" w:lineRule="auto"/>
      <w:jc w:val="left"/>
      <w:outlineLvl w:val="7"/>
    </w:pPr>
    <w:rPr>
      <w:rFonts w:hint="default" w:asciiTheme="minorHAnsi" w:hAnsiTheme="minorHAnsi" w:eastAsiaTheme="majorEastAsia" w:cstheme="majorBidi"/>
      <w:i/>
      <w:iCs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widowControl/>
      <w:spacing w:line="278" w:lineRule="auto"/>
      <w:jc w:val="left"/>
      <w:outlineLvl w:val="8"/>
    </w:pPr>
    <w:rPr>
      <w:rFonts w:hint="default" w:asciiTheme="minorHAnsi" w:hAnsiTheme="minorHAnsi" w:eastAsiaTheme="majorEastAsia"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widowControl/>
      <w:tabs>
        <w:tab w:val="center" w:pos="4320"/>
        <w:tab w:val="right" w:pos="8640"/>
      </w:tabs>
      <w:jc w:val="left"/>
    </w:pPr>
    <w:rPr>
      <w:rFonts w:hint="default" w:asciiTheme="minorHAnsi" w:hAnsiTheme="minorHAnsi" w:eastAsiaTheme="minorEastAsia" w:cstheme="minorBidi"/>
      <w:sz w:val="24"/>
      <w:szCs w:val="24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widowControl/>
      <w:tabs>
        <w:tab w:val="center" w:pos="4320"/>
        <w:tab w:val="right" w:pos="8640"/>
      </w:tabs>
      <w:jc w:val="left"/>
    </w:pPr>
    <w:rPr>
      <w:rFonts w:hint="default" w:asciiTheme="minorHAnsi" w:hAnsiTheme="minorHAnsi" w:eastAsiaTheme="minorEastAsia" w:cstheme="minorBidi"/>
      <w:sz w:val="24"/>
      <w:szCs w:val="24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widowControl/>
      <w:spacing w:after="160" w:line="278" w:lineRule="auto"/>
      <w:jc w:val="left"/>
    </w:pPr>
    <w:rPr>
      <w:rFonts w:hint="default" w:asciiTheme="minorHAnsi" w:hAnsiTheme="min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widowControl/>
      <w:spacing w:after="80"/>
      <w:contextualSpacing/>
      <w:jc w:val="left"/>
    </w:pPr>
    <w:rPr>
      <w:rFonts w:hint="default"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标题 4 字符"/>
    <w:basedOn w:val="16"/>
    <w:link w:val="2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7 字符"/>
    <w:basedOn w:val="16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/>
      <w:spacing w:before="160" w:after="160" w:line="278" w:lineRule="auto"/>
      <w:jc w:val="center"/>
    </w:pPr>
    <w:rPr>
      <w:rFonts w:hint="default" w:asciiTheme="minorHAnsi" w:hAnsiTheme="minorHAnsi" w:eastAsiaTheme="minorEastAsia" w:cstheme="minorBidi"/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widowControl/>
      <w:spacing w:after="160" w:line="278" w:lineRule="auto"/>
      <w:ind w:left="720"/>
      <w:contextualSpacing/>
      <w:jc w:val="left"/>
    </w:pPr>
    <w:rPr>
      <w:rFonts w:hint="default" w:asciiTheme="minorHAnsi" w:hAnsiTheme="minorHAnsi" w:eastAsiaTheme="minorEastAsia" w:cstheme="minorBidi"/>
      <w:sz w:val="24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hint="default" w:asciiTheme="minorHAnsi" w:hAnsiTheme="minorHAnsi" w:eastAsiaTheme="minorEastAsia" w:cstheme="minorBidi"/>
      <w:i/>
      <w:iCs/>
      <w:color w:val="104862" w:themeColor="accent1" w:themeShade="BF"/>
      <w:sz w:val="24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</w:style>
  <w:style w:type="character" w:customStyle="1" w:styleId="36">
    <w:name w:val="页脚 字符"/>
    <w:basedOn w:val="16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2232</Words>
  <Characters>2247</Characters>
  <Lines>16</Lines>
  <Paragraphs>4</Paragraphs>
  <TotalTime>29</TotalTime>
  <ScaleCrop>false</ScaleCrop>
  <LinksUpToDate>false</LinksUpToDate>
  <CharactersWithSpaces>2247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2024-09-29T07:07:00Z</dcterms:created>
  <dc:creator>Wang, Qianke</dc:creator>
  <cp:lastModifiedBy>啊肥学长</cp:lastModifiedBy>
  <dcterms:modified xsi:type="dcterms:W3CDTF">2024-12-09T00:52:15Z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EF43CC7810534CA78E388705C7E29EA5_13</vt:lpwstr>
  </property>
</Properties>
</file>